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67" w:type="dxa"/>
        <w:tblInd w:w="-108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72"/>
        <w:gridCol w:w="3195"/>
      </w:tblGrid>
      <w:tr>
        <w:trPr/>
        <w:tc>
          <w:tcPr>
            <w:shd w:val="clear" w:fill="auto" w:color="auto"/>
            <w:tcW w:w="6772" w:type="dxa"/>
            <w:textDirection w:val="lrTb"/>
            <w:noWrap w:val="false"/>
          </w:tcPr>
          <w:p>
            <w:pPr>
              <w:pStyle w:val="597"/>
              <w:ind w:right="-55" w:firstLine="0"/>
              <w:spacing w:lineRule="exact" w:line="264" w:after="0" w:before="14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shd w:val="clear" w:fill="auto" w:color="auto"/>
            <w:tcW w:w="3195" w:type="dxa"/>
            <w:textDirection w:val="lrTb"/>
            <w:noWrap w:val="false"/>
          </w:tcPr>
          <w:p>
            <w:pPr>
              <w:pStyle w:val="5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3 </w:t>
            </w:r>
            <w:r/>
          </w:p>
          <w:p>
            <w:pPr>
              <w:pStyle w:val="5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протоколу заседания Правления </w:t>
            </w:r>
            <w:r/>
          </w:p>
          <w:p>
            <w:pPr>
              <w:pStyle w:val="5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Региональной службы по тарифам </w:t>
            </w:r>
            <w:r/>
          </w:p>
          <w:p>
            <w:pPr>
              <w:pStyle w:val="5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Ростовской области</w:t>
            </w:r>
            <w:r/>
          </w:p>
          <w:p>
            <w:pPr>
              <w:pStyle w:val="5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16.12.2021 № 70</w:t>
            </w:r>
            <w:r/>
          </w:p>
        </w:tc>
      </w:tr>
    </w:tbl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ind w:right="665" w:firstLine="0"/>
        <w:shd w:val="clear" w:fill="FFFFFF" w:color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ind w:right="665" w:firstLine="0"/>
        <w:jc w:val="center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16.12.2021</w:t>
        <w:tab/>
        <w:tab/>
        <w:tab/>
        <w:tab/>
        <w:t xml:space="preserve">    г. Ростов-на-Дону</w:t>
        <w:tab/>
        <w:tab/>
        <w:tab/>
        <w:t xml:space="preserve">       № 70/3</w:t>
      </w:r>
      <w:r/>
    </w:p>
    <w:p>
      <w:pPr>
        <w:pStyle w:val="597"/>
        <w:ind w:right="665" w:firstLine="0"/>
        <w:shd w:val="clear" w:fill="FFFFFF" w:color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597"/>
        <w:ind w:right="665" w:firstLine="0"/>
        <w:shd w:val="clear" w:fill="FFFFFF" w:color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1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</w:t>
      </w:r>
      <w:r>
        <w:rPr>
          <w:b/>
          <w:bCs/>
          <w:color w:val="000000"/>
          <w:sz w:val="28"/>
          <w:szCs w:val="28"/>
        </w:rPr>
        <w:t xml:space="preserve"> установлении розничных цен на сжиженный газ, реализуемый                           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деятельности, на 2022 год</w:t>
      </w:r>
      <w:r/>
    </w:p>
    <w:p>
      <w:pPr>
        <w:pStyle w:val="597"/>
        <w:ind w:left="72" w:right="5" w:firstLine="710"/>
        <w:jc w:val="both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Положением о Регионал</w:t>
      </w:r>
      <w:r>
        <w:rPr>
          <w:color w:val="000000"/>
          <w:sz w:val="28"/>
          <w:szCs w:val="28"/>
        </w:rPr>
        <w:t xml:space="preserve">ьной службе по тарифам Ростовской области, утвержденным постановлением Правительства Ростовской области от 13.01.2012 № 20, руководствуясь постановлением Правительства Российской Федерации от 29.12.2000 № 1021 «О государственном регулировании цен на газ, т</w:t>
      </w:r>
      <w:r>
        <w:rPr>
          <w:color w:val="000000"/>
          <w:sz w:val="28"/>
          <w:szCs w:val="28"/>
        </w:rPr>
        <w:t xml:space="preserve">арифов на услуги по его транспортировке, платы за технологическое присоединение газоиспользующего оборудования к газораспределительным сетям на территории Российской Федерации и платы за технологическое присоединение к магистральным газопроводам строящихся</w:t>
      </w:r>
      <w:r>
        <w:rPr>
          <w:color w:val="000000"/>
          <w:sz w:val="28"/>
          <w:szCs w:val="28"/>
        </w:rPr>
        <w:t xml:space="preserve"> и реконструируемых газопроводов, предназначенных для транспортировки газа от магистральных газопроводов до объектов капитального строительства, и газопроводов, предназначенных для транспортировки газа от месторождений природного газа до магистрального газ</w:t>
      </w:r>
      <w:r>
        <w:rPr>
          <w:color w:val="000000"/>
          <w:sz w:val="28"/>
          <w:szCs w:val="28"/>
        </w:rPr>
        <w:t xml:space="preserve">опровода», приказом Федеральной антимонопольной службы от 07.08.2019 № 1072/19 «Об утверждении Методических указаний по регулированию розничных цен на сжиженный газ, реализуемый населению для бытовых нужд», Региональная служба по тарифам Ростовской области</w:t>
      </w:r>
      <w:r/>
    </w:p>
    <w:p>
      <w:pPr>
        <w:pStyle w:val="597"/>
        <w:ind w:left="72" w:right="5" w:firstLine="710"/>
        <w:jc w:val="both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597"/>
        <w:ind w:left="4474" w:firstLine="0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постановляет:</w:t>
      </w:r>
      <w:r/>
    </w:p>
    <w:p>
      <w:pPr>
        <w:pStyle w:val="597"/>
        <w:ind w:left="4474" w:firstLine="0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ind w:left="142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Установить розничные цены на </w:t>
      </w:r>
      <w:r>
        <w:rPr>
          <w:bCs/>
          <w:color w:val="000000"/>
          <w:sz w:val="28"/>
          <w:szCs w:val="28"/>
        </w:rPr>
        <w:t xml:space="preserve">сжиженный газ, реализуемый                          населению</w:t>
      </w:r>
      <w:r>
        <w:rPr>
          <w:sz w:val="28"/>
          <w:szCs w:val="28"/>
        </w:rPr>
        <w:t xml:space="preserve"> для бытовых нужд, кроме газа для заправки автотранспортных средств, </w:t>
      </w:r>
      <w:r>
        <w:rPr>
          <w:bCs/>
          <w:color w:val="000000"/>
          <w:sz w:val="28"/>
          <w:szCs w:val="28"/>
        </w:rPr>
        <w:t xml:space="preserve">не связанных с осуществлением предпринимательской (профессиональной) деятельности, согласно приложению к постановлению.</w:t>
      </w:r>
      <w:r/>
    </w:p>
    <w:p>
      <w:pPr>
        <w:pStyle w:val="597"/>
        <w:ind w:left="74" w:firstLine="743"/>
        <w:jc w:val="both"/>
        <w:shd w:val="clear" w:fill="FFFFFF" w:color="auto"/>
        <w:tabs>
          <w:tab w:val="clear" w:pos="708" w:leader="none"/>
          <w:tab w:val="left" w:pos="11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Розничные цены, установленные пунктом 1 постановления, являются максимально предельными</w:t>
      </w:r>
      <w:r>
        <w:rPr>
          <w:sz w:val="28"/>
          <w:szCs w:val="28"/>
        </w:rPr>
        <w:t xml:space="preserve">.</w:t>
      </w:r>
      <w:r/>
    </w:p>
    <w:p>
      <w:pPr>
        <w:pStyle w:val="597"/>
        <w:ind w:left="74" w:firstLine="743"/>
        <w:jc w:val="both"/>
        <w:shd w:val="clear" w:fill="FFFFFF" w:color="auto"/>
        <w:tabs>
          <w:tab w:val="clear" w:pos="708" w:leader="none"/>
          <w:tab w:val="left" w:pos="11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Признать утратившими силу постановления Региональной службы по тарифам Ростовской области от 15.09.2020 № 37/3 </w:t>
      </w:r>
      <w:r>
        <w:rPr>
          <w:bCs/>
          <w:color w:val="000000"/>
          <w:sz w:val="28"/>
          <w:szCs w:val="28"/>
        </w:rPr>
        <w:t xml:space="preserve">«Об установлении </w:t>
      </w:r>
      <w:r>
        <w:rPr>
          <w:bCs/>
          <w:color w:val="000000"/>
          <w:sz w:val="28"/>
          <w:szCs w:val="28"/>
        </w:rPr>
        <w:t xml:space="preserve">розничной цены на сжиженный газ, реализуемый ООО «ДГН» (ИНН 6150094778) 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деятельности», от 25.11.2020 № 47/1 «</w:t>
      </w:r>
      <w:r>
        <w:rPr>
          <w:bCs/>
          <w:color w:val="000000"/>
          <w:sz w:val="28"/>
          <w:szCs w:val="28"/>
        </w:rPr>
        <w:t xml:space="preserve">Об установлении розничной цены на сжиженный газ, реализуемый ООО «Донгазойл» (ИНН 6148011439) 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деятельности», </w:t>
      </w:r>
      <w:r>
        <w:rPr>
          <w:color w:val="000000"/>
          <w:sz w:val="28"/>
          <w:szCs w:val="28"/>
        </w:rPr>
        <w:t xml:space="preserve">от 15.12.2020 № 53/2 «</w:t>
      </w:r>
      <w:r>
        <w:rPr>
          <w:bCs/>
          <w:color w:val="000000"/>
          <w:sz w:val="28"/>
          <w:szCs w:val="28"/>
        </w:rPr>
        <w:t xml:space="preserve">Об установлении розничных цен на сжиженный газ, реализуемый 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</w:t>
      </w:r>
      <w:r>
        <w:rPr>
          <w:color w:val="000000"/>
          <w:sz w:val="28"/>
          <w:szCs w:val="28"/>
        </w:rPr>
        <w:t xml:space="preserve">».</w:t>
      </w:r>
      <w:r/>
    </w:p>
    <w:p>
      <w:pPr>
        <w:pStyle w:val="597"/>
        <w:ind w:left="74" w:firstLine="743"/>
        <w:jc w:val="both"/>
        <w:shd w:val="clear" w:fill="FFFFFF" w:color="auto"/>
        <w:tabs>
          <w:tab w:val="clear" w:pos="708" w:leader="none"/>
          <w:tab w:val="left" w:pos="11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Постановление подлежит официальному опубликованию, размещению на официальном сайте Региональной службы по тарифам Ростовской области rst.donland.ru, вступает в силу с 1 января 2022 года.</w:t>
      </w:r>
      <w:r/>
    </w:p>
    <w:p>
      <w:pPr>
        <w:pStyle w:val="597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</w:t>
      </w:r>
      <w:r/>
    </w:p>
    <w:p>
      <w:pPr>
        <w:pStyle w:val="597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</w:pPr>
      <w:r>
        <w:rPr>
          <w:b/>
          <w:color w:val="000000"/>
          <w:sz w:val="28"/>
          <w:szCs w:val="28"/>
        </w:rPr>
        <w:t xml:space="preserve">по тарифам Ростовской области</w:t>
        <w:tab/>
        <w:tab/>
        <w:tab/>
        <w:tab/>
        <w:t xml:space="preserve">    </w:t>
        <w:tab/>
        <w:tab/>
        <w:t xml:space="preserve">  </w:t>
      </w:r>
      <w:r>
        <w:rPr>
          <w:b/>
          <w:sz w:val="28"/>
          <w:szCs w:val="28"/>
        </w:rPr>
        <w:t xml:space="preserve">А.В. Лукьянов</w:t>
      </w:r>
      <w:r/>
    </w:p>
    <w:sectPr>
      <w:footnotePr/>
      <w:endnotePr/>
      <w:type w:val="nextPage"/>
      <w:pgSz w:w="11906" w:h="16838" w:orient="portrait"/>
      <w:pgMar w:top="851" w:right="851" w:bottom="993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9"/>
    <w:link w:val="632"/>
    <w:uiPriority w:val="99"/>
  </w:style>
  <w:style w:type="character" w:styleId="43">
    <w:name w:val="Footer Char"/>
    <w:basedOn w:val="9"/>
    <w:link w:val="633"/>
    <w:uiPriority w:val="99"/>
  </w:style>
  <w:style w:type="character" w:styleId="45">
    <w:name w:val="Caption Char"/>
    <w:basedOn w:val="620"/>
    <w:link w:val="633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WW8Num1z0"/>
    <w:qFormat/>
    <w:rPr>
      <w:rFonts w:ascii="Symbol" w:hAnsi="Symbol" w:cs="Times New Roman" w:eastAsia="Times New Roman"/>
    </w:rPr>
  </w:style>
  <w:style w:type="character" w:styleId="599">
    <w:name w:val="WW8Num1z1"/>
    <w:qFormat/>
    <w:rPr>
      <w:rFonts w:ascii="Courier New" w:hAnsi="Courier New" w:cs="Courier New"/>
    </w:rPr>
  </w:style>
  <w:style w:type="character" w:styleId="600">
    <w:name w:val="WW8Num1z2"/>
    <w:qFormat/>
    <w:rPr>
      <w:rFonts w:ascii="Wingdings" w:hAnsi="Wingdings" w:cs="Wingdings"/>
    </w:rPr>
  </w:style>
  <w:style w:type="character" w:styleId="601">
    <w:name w:val="WW8Num1z3"/>
    <w:qFormat/>
    <w:rPr>
      <w:rFonts w:ascii="Symbol" w:hAnsi="Symbol" w:cs="Symbol"/>
    </w:rPr>
  </w:style>
  <w:style w:type="character" w:styleId="602">
    <w:name w:val="WW8Num2z0"/>
    <w:qFormat/>
    <w:rPr>
      <w:rFonts w:ascii="Symbol" w:hAnsi="Symbol" w:cs="Times New Roman" w:eastAsia="Times New Roman"/>
    </w:rPr>
  </w:style>
  <w:style w:type="character" w:styleId="603">
    <w:name w:val="WW8Num2z1"/>
    <w:qFormat/>
    <w:rPr>
      <w:rFonts w:ascii="Courier New" w:hAnsi="Courier New" w:cs="Courier New"/>
    </w:rPr>
  </w:style>
  <w:style w:type="character" w:styleId="604">
    <w:name w:val="WW8Num2z2"/>
    <w:qFormat/>
    <w:rPr>
      <w:rFonts w:ascii="Wingdings" w:hAnsi="Wingdings" w:cs="Wingdings"/>
    </w:rPr>
  </w:style>
  <w:style w:type="character" w:styleId="605">
    <w:name w:val="WW8Num2z3"/>
    <w:qFormat/>
    <w:rPr>
      <w:rFonts w:ascii="Symbol" w:hAnsi="Symbol" w:cs="Symbol"/>
    </w:rPr>
  </w:style>
  <w:style w:type="character" w:styleId="606">
    <w:name w:val="WW8Num3z0"/>
    <w:qFormat/>
    <w:rPr>
      <w:rFonts w:ascii="Symbol" w:hAnsi="Symbol" w:cs="Times New Roman" w:eastAsia="Times New Roman"/>
    </w:rPr>
  </w:style>
  <w:style w:type="character" w:styleId="607">
    <w:name w:val="WW8Num3z1"/>
    <w:qFormat/>
    <w:rPr>
      <w:rFonts w:ascii="Courier New" w:hAnsi="Courier New" w:cs="Courier New"/>
    </w:rPr>
  </w:style>
  <w:style w:type="character" w:styleId="608">
    <w:name w:val="WW8Num3z2"/>
    <w:qFormat/>
    <w:rPr>
      <w:rFonts w:ascii="Wingdings" w:hAnsi="Wingdings" w:cs="Wingdings"/>
    </w:rPr>
  </w:style>
  <w:style w:type="character" w:styleId="609">
    <w:name w:val="WW8Num3z3"/>
    <w:qFormat/>
    <w:rPr>
      <w:rFonts w:ascii="Symbol" w:hAnsi="Symbol" w:cs="Symbol"/>
    </w:rPr>
  </w:style>
  <w:style w:type="character" w:styleId="610">
    <w:name w:val="WW8Num4z0"/>
    <w:qFormat/>
    <w:rPr>
      <w:rFonts w:ascii="Times New Roman" w:hAnsi="Times New Roman" w:cs="Times New Roman"/>
    </w:rPr>
  </w:style>
  <w:style w:type="character" w:styleId="611">
    <w:name w:val="Основной шрифт абзаца"/>
    <w:qFormat/>
  </w:style>
  <w:style w:type="character" w:styleId="612">
    <w:name w:val="Font Style11"/>
    <w:qFormat/>
    <w:rPr>
      <w:rFonts w:ascii="Times New Roman" w:hAnsi="Times New Roman" w:cs="Times New Roman"/>
      <w:b/>
      <w:bCs/>
      <w:sz w:val="26"/>
      <w:szCs w:val="26"/>
    </w:rPr>
  </w:style>
  <w:style w:type="character" w:styleId="613">
    <w:name w:val="Font Style14"/>
    <w:qFormat/>
    <w:rPr>
      <w:rFonts w:ascii="Times New Roman" w:hAnsi="Times New Roman" w:cs="Times New Roman"/>
      <w:sz w:val="26"/>
      <w:szCs w:val="26"/>
    </w:rPr>
  </w:style>
  <w:style w:type="character" w:styleId="614">
    <w:name w:val="Верхний колонтитул Знак"/>
    <w:qFormat/>
    <w:rPr>
      <w:sz w:val="24"/>
      <w:szCs w:val="24"/>
    </w:rPr>
  </w:style>
  <w:style w:type="character" w:styleId="615">
    <w:name w:val="Нижний колонтитул Знак"/>
    <w:qFormat/>
    <w:rPr>
      <w:sz w:val="24"/>
      <w:szCs w:val="24"/>
    </w:rPr>
  </w:style>
  <w:style w:type="character" w:styleId="616">
    <w:name w:val="Основной текст Знак"/>
    <w:qFormat/>
    <w:rPr>
      <w:sz w:val="24"/>
      <w:szCs w:val="24"/>
    </w:rPr>
  </w:style>
  <w:style w:type="paragraph" w:styleId="617">
    <w:name w:val="Heading"/>
    <w:basedOn w:val="597"/>
    <w:next w:val="618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18">
    <w:name w:val="Body Text"/>
    <w:basedOn w:val="597"/>
    <w:pPr>
      <w:spacing w:after="120" w:before="0"/>
    </w:pPr>
  </w:style>
  <w:style w:type="paragraph" w:styleId="619">
    <w:name w:val="List"/>
    <w:basedOn w:val="618"/>
  </w:style>
  <w:style w:type="paragraph" w:styleId="620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21">
    <w:name w:val="Index"/>
    <w:basedOn w:val="597"/>
    <w:qFormat/>
    <w:pPr>
      <w:suppressLineNumbers/>
    </w:pPr>
  </w:style>
  <w:style w:type="paragraph" w:styleId="622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/>
    </w:pPr>
  </w:style>
  <w:style w:type="paragraph" w:styleId="623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zh-CN"/>
    </w:rPr>
    <w:pPr>
      <w:widowControl/>
    </w:pPr>
  </w:style>
  <w:style w:type="paragraph" w:styleId="624">
    <w:name w:val="ConsPlusTitle"/>
    <w:qFormat/>
    <w:rPr>
      <w:rFonts w:ascii="Arial" w:hAnsi="Arial" w:cs="Arial" w:eastAsia="Times New Roman"/>
      <w:b/>
      <w:bCs/>
      <w:color w:val="auto"/>
      <w:sz w:val="20"/>
      <w:szCs w:val="20"/>
      <w:lang w:val="ru-RU" w:bidi="ar-SA" w:eastAsia="zh-CN"/>
    </w:rPr>
    <w:pPr>
      <w:widowControl/>
    </w:pPr>
  </w:style>
  <w:style w:type="paragraph" w:styleId="625">
    <w:name w:val="Основной текст с отступом 2"/>
    <w:basedOn w:val="597"/>
    <w:qFormat/>
    <w:rPr>
      <w:sz w:val="28"/>
    </w:rPr>
    <w:pPr>
      <w:ind w:firstLine="708"/>
    </w:pPr>
  </w:style>
  <w:style w:type="paragraph" w:styleId="626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27">
    <w:name w:val="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28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29">
    <w:name w:val=" 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30">
    <w:name w:val="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31">
    <w:name w:val="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32">
    <w:name w:val="Header"/>
    <w:basedOn w:val="597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33">
    <w:name w:val="Footer"/>
    <w:basedOn w:val="597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34">
    <w:name w:val="Table Contents"/>
    <w:basedOn w:val="597"/>
    <w:qFormat/>
    <w:pPr>
      <w:suppressLineNumbers/>
    </w:pPr>
  </w:style>
  <w:style w:type="paragraph" w:styleId="635">
    <w:name w:val="Table Heading"/>
    <w:basedOn w:val="634"/>
    <w:qFormat/>
    <w:rPr>
      <w:b/>
      <w:bCs/>
    </w:rPr>
    <w:pPr>
      <w:jc w:val="center"/>
      <w:suppressLineNumbers/>
    </w:pPr>
  </w:style>
  <w:style w:type="numbering" w:styleId="636">
    <w:name w:val="WW8Num1"/>
    <w:qFormat/>
  </w:style>
  <w:style w:type="numbering" w:styleId="637">
    <w:name w:val="WW8Num2"/>
    <w:qFormat/>
  </w:style>
  <w:style w:type="numbering" w:styleId="638">
    <w:name w:val="WW8Num3"/>
    <w:qFormat/>
  </w:style>
  <w:style w:type="numbering" w:styleId="639">
    <w:name w:val="WW8Num4"/>
    <w:qFormat/>
  </w:style>
  <w:style w:type="character" w:styleId="794" w:default="1">
    <w:name w:val="Default Paragraph Font"/>
    <w:uiPriority w:val="1"/>
    <w:semiHidden/>
    <w:unhideWhenUsed/>
  </w:style>
  <w:style w:type="numbering" w:styleId="795" w:default="1">
    <w:name w:val="No List"/>
    <w:uiPriority w:val="99"/>
    <w:semiHidden/>
    <w:unhideWhenUsed/>
  </w:style>
  <w:style w:type="table" w:styleId="7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Воронцова</dc:creator>
  <cp:keywords/>
  <dc:description/>
  <dc:language>en-US</dc:language>
  <cp:lastModifiedBy>Ольга Федулова</cp:lastModifiedBy>
  <cp:revision>27</cp:revision>
  <dcterms:created xsi:type="dcterms:W3CDTF">2019-01-25T09:27:00Z</dcterms:created>
  <dcterms:modified xsi:type="dcterms:W3CDTF">2021-12-22T10:41:26Z</dcterms:modified>
</cp:coreProperties>
</file>